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2AF" w:rsidRDefault="005302AF" w:rsidP="005302AF">
      <w:pPr>
        <w:shd w:val="clear" w:color="auto" w:fill="FFFFFF"/>
        <w:spacing w:after="0" w:line="240" w:lineRule="auto"/>
        <w:outlineLvl w:val="1"/>
        <w:rPr>
          <w:rFonts w:ascii="MyriadProCond" w:eastAsia="Times New Roman" w:hAnsi="MyriadProCond" w:cs="Times New Roman"/>
          <w:b/>
          <w:bCs/>
          <w:color w:val="333333"/>
          <w:sz w:val="33"/>
          <w:szCs w:val="33"/>
          <w:lang w:eastAsia="ru-RU"/>
        </w:rPr>
      </w:pPr>
      <w:proofErr w:type="spellStart"/>
      <w:r w:rsidRPr="005302AF">
        <w:rPr>
          <w:rFonts w:ascii="MyriadProCond" w:eastAsia="Times New Roman" w:hAnsi="MyriadProCond" w:cs="Times New Roman"/>
          <w:b/>
          <w:bCs/>
          <w:color w:val="333333"/>
          <w:sz w:val="33"/>
          <w:szCs w:val="33"/>
          <w:lang w:eastAsia="ru-RU"/>
        </w:rPr>
        <w:t>Launch</w:t>
      </w:r>
      <w:proofErr w:type="spellEnd"/>
      <w:r w:rsidRPr="005302AF">
        <w:rPr>
          <w:rFonts w:ascii="MyriadProCond" w:eastAsia="Times New Roman" w:hAnsi="MyriadProCond" w:cs="Times New Roman"/>
          <w:b/>
          <w:bCs/>
          <w:color w:val="333333"/>
          <w:sz w:val="33"/>
          <w:szCs w:val="33"/>
          <w:lang w:eastAsia="ru-RU"/>
        </w:rPr>
        <w:t xml:space="preserve"> X-431 PRO </w:t>
      </w:r>
      <w:proofErr w:type="spellStart"/>
      <w:r w:rsidRPr="005302AF">
        <w:rPr>
          <w:rFonts w:ascii="MyriadProCond" w:eastAsia="Times New Roman" w:hAnsi="MyriadProCond" w:cs="Times New Roman"/>
          <w:b/>
          <w:bCs/>
          <w:color w:val="333333"/>
          <w:sz w:val="33"/>
          <w:szCs w:val="33"/>
          <w:lang w:eastAsia="ru-RU"/>
        </w:rPr>
        <w:t>Lite</w:t>
      </w:r>
      <w:proofErr w:type="spellEnd"/>
      <w:r w:rsidRPr="005302AF">
        <w:rPr>
          <w:rFonts w:ascii="MyriadProCond" w:eastAsia="Times New Roman" w:hAnsi="MyriadProCond" w:cs="Times New Roman"/>
          <w:b/>
          <w:bCs/>
          <w:color w:val="333333"/>
          <w:sz w:val="33"/>
          <w:szCs w:val="33"/>
          <w:lang w:eastAsia="ru-RU"/>
        </w:rPr>
        <w:t xml:space="preserve"> 3.0</w:t>
      </w:r>
    </w:p>
    <w:p w:rsidR="005302AF" w:rsidRPr="005302AF" w:rsidRDefault="005302AF" w:rsidP="005302AF">
      <w:pPr>
        <w:shd w:val="clear" w:color="auto" w:fill="FFFFFF"/>
        <w:spacing w:after="0" w:line="240" w:lineRule="auto"/>
        <w:outlineLvl w:val="1"/>
        <w:rPr>
          <w:rFonts w:ascii="MyriadProCond" w:eastAsia="Times New Roman" w:hAnsi="MyriadProCond" w:cs="Times New Roman"/>
          <w:b/>
          <w:bCs/>
          <w:color w:val="333333"/>
          <w:sz w:val="33"/>
          <w:szCs w:val="33"/>
          <w:lang w:eastAsia="ru-RU"/>
        </w:rPr>
      </w:pPr>
    </w:p>
    <w:p w:rsidR="005302AF" w:rsidRPr="005302AF" w:rsidRDefault="005302AF" w:rsidP="005302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5302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Launch</w:t>
      </w:r>
      <w:proofErr w:type="spellEnd"/>
      <w:r w:rsidRPr="005302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PRO </w:t>
      </w:r>
      <w:proofErr w:type="spellStart"/>
      <w:r w:rsidRPr="005302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Lite</w:t>
      </w:r>
      <w:proofErr w:type="spellEnd"/>
      <w:r w:rsidRPr="005302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3.0 – это обновленная версия легендарного устройства </w:t>
      </w:r>
      <w:proofErr w:type="spellStart"/>
      <w:r w:rsidRPr="005302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Launch</w:t>
      </w:r>
      <w:proofErr w:type="spellEnd"/>
      <w:r w:rsidRPr="005302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PRO </w:t>
      </w:r>
      <w:proofErr w:type="spellStart"/>
      <w:r w:rsidRPr="005302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Lite</w:t>
      </w:r>
      <w:proofErr w:type="spellEnd"/>
      <w:r w:rsidRPr="005302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 </w:t>
      </w:r>
    </w:p>
    <w:p w:rsidR="005302AF" w:rsidRPr="005302AF" w:rsidRDefault="005302AF" w:rsidP="005302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302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Данное устройство специализировано под нужды небольших автосервисов до 3 постов, в основном работающих с автомобилями, которые были выпущены после 2000 года.</w:t>
      </w:r>
    </w:p>
    <w:p w:rsidR="005302AF" w:rsidRDefault="005302AF" w:rsidP="005302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302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Версия PRO </w:t>
      </w:r>
      <w:proofErr w:type="spellStart"/>
      <w:r w:rsidRPr="005302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Lite</w:t>
      </w:r>
      <w:proofErr w:type="spellEnd"/>
      <w:r w:rsidRPr="005302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3.0 имеет функционал, практически идентичный прибору версии X-431 PRO </w:t>
      </w:r>
      <w:proofErr w:type="spellStart"/>
      <w:r w:rsidRPr="005302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Lite</w:t>
      </w:r>
      <w:proofErr w:type="spellEnd"/>
      <w:r w:rsidRPr="005302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2.0, и имеет несколько дополнительных функций и обновленное железо. Обновленное устройство также включает в себя комплект адаптеров, за счет чего обладает весьма широким покрытием по маркам и моделям транспортных средств.</w:t>
      </w:r>
    </w:p>
    <w:p w:rsidR="005302AF" w:rsidRPr="005302AF" w:rsidRDefault="005302AF" w:rsidP="005302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302AF" w:rsidRPr="005302AF" w:rsidRDefault="005302AF" w:rsidP="005302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302A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Отличительные особенности</w:t>
      </w:r>
    </w:p>
    <w:p w:rsidR="005302AF" w:rsidRPr="005302AF" w:rsidRDefault="005302AF" w:rsidP="005302A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302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Облегченный планшет на базе ОС </w:t>
      </w:r>
      <w:proofErr w:type="spellStart"/>
      <w:r w:rsidRPr="005302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Android</w:t>
      </w:r>
      <w:proofErr w:type="spellEnd"/>
      <w:r w:rsidRPr="005302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7.0, имеющий более чем достаточный функционал </w:t>
      </w:r>
      <w:proofErr w:type="gramStart"/>
      <w:r w:rsidRPr="005302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</w:t>
      </w:r>
      <w:proofErr w:type="gramEnd"/>
      <w:r w:rsidRPr="005302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gramStart"/>
      <w:r w:rsidRPr="005302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небольших</w:t>
      </w:r>
      <w:proofErr w:type="gramEnd"/>
      <w:r w:rsidRPr="005302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средних СТО;</w:t>
      </w:r>
    </w:p>
    <w:p w:rsidR="005302AF" w:rsidRPr="005302AF" w:rsidRDefault="005302AF" w:rsidP="005302A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302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Подключение к VCI разъему автомобиля осуществляется по </w:t>
      </w:r>
      <w:proofErr w:type="spellStart"/>
      <w:r w:rsidRPr="005302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Bluetooth</w:t>
      </w:r>
      <w:proofErr w:type="spellEnd"/>
      <w:r w:rsidRPr="005302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что открывает уникальные возможности дистанционной диагностики;</w:t>
      </w:r>
    </w:p>
    <w:p w:rsidR="005302AF" w:rsidRPr="005302AF" w:rsidRDefault="005302AF" w:rsidP="005302A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302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Покрытие транспортных средств на уровне OE для азиатских, европейских и американских марок и моделей;</w:t>
      </w:r>
    </w:p>
    <w:p w:rsidR="005302AF" w:rsidRPr="005302AF" w:rsidRDefault="005302AF" w:rsidP="005302A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302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Интеллектуальная диагностика всех модулей ЭБУ и создание полного отчета о состоянии системы для обмена и анализа;</w:t>
      </w:r>
    </w:p>
    <w:p w:rsidR="005302AF" w:rsidRPr="005302AF" w:rsidRDefault="005302AF" w:rsidP="005302A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302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Полная функциональность OBD II для 10 режимов тестирования OBD II;</w:t>
      </w:r>
    </w:p>
    <w:p w:rsidR="005302AF" w:rsidRPr="005302AF" w:rsidRDefault="005302AF" w:rsidP="005302A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302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Двунаправленная функциональность OE-</w:t>
      </w:r>
      <w:proofErr w:type="spellStart"/>
      <w:r w:rsidRPr="005302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Level</w:t>
      </w:r>
      <w:proofErr w:type="spellEnd"/>
      <w:r w:rsidRPr="005302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5302AF" w:rsidRPr="005302AF" w:rsidRDefault="005302AF" w:rsidP="005302A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302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Автоматическое обнаружение VIN транспортного средства для быстрой идентификации марки, модели и информации по году транспортного средства;</w:t>
      </w:r>
    </w:p>
    <w:p w:rsidR="005302AF" w:rsidRDefault="005302AF" w:rsidP="005302A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302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Многоязычное меню для упрощенного пользования с получением полного объема информации. </w:t>
      </w:r>
    </w:p>
    <w:p w:rsidR="005302AF" w:rsidRPr="005302AF" w:rsidRDefault="005302AF" w:rsidP="005302AF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302AF" w:rsidRPr="005302AF" w:rsidRDefault="005302AF" w:rsidP="005302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302A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Базовые функции</w:t>
      </w:r>
    </w:p>
    <w:p w:rsidR="005302AF" w:rsidRPr="005302AF" w:rsidRDefault="005302AF" w:rsidP="005302A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302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Чтение и удаление ошибок DTC;</w:t>
      </w:r>
    </w:p>
    <w:p w:rsidR="005302AF" w:rsidRPr="005302AF" w:rsidRDefault="005302AF" w:rsidP="005302A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302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Отображение параметров в режиме реального времени;</w:t>
      </w:r>
    </w:p>
    <w:p w:rsidR="005302AF" w:rsidRPr="005302AF" w:rsidRDefault="005302AF" w:rsidP="005302A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302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Активные тесты;</w:t>
      </w:r>
    </w:p>
    <w:p w:rsidR="005302AF" w:rsidRDefault="005302AF" w:rsidP="005302A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302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Сброс любых типов </w:t>
      </w:r>
      <w:proofErr w:type="spellStart"/>
      <w:r w:rsidRPr="005302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межсервисных</w:t>
      </w:r>
      <w:proofErr w:type="spellEnd"/>
      <w:r w:rsidRPr="005302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интервалов.</w:t>
      </w:r>
    </w:p>
    <w:p w:rsidR="005302AF" w:rsidRPr="005302AF" w:rsidRDefault="005302AF" w:rsidP="005302AF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302AF" w:rsidRPr="005302AF" w:rsidRDefault="005302AF" w:rsidP="005302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302A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Обширный набор специальных функций</w:t>
      </w:r>
    </w:p>
    <w:p w:rsidR="005302AF" w:rsidRDefault="005302AF" w:rsidP="005302A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302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Поддерживается большинство специальных функций для систем транспортных средств азиатского, европейского и американского рынков.</w:t>
      </w:r>
    </w:p>
    <w:p w:rsidR="005302AF" w:rsidRPr="005302AF" w:rsidRDefault="005302AF" w:rsidP="005302AF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302AF" w:rsidRPr="005302AF" w:rsidRDefault="005302AF" w:rsidP="005302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302A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Удаленная диагностика</w:t>
      </w:r>
    </w:p>
    <w:p w:rsidR="005302AF" w:rsidRPr="005302AF" w:rsidRDefault="005302AF" w:rsidP="005302A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302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Диагностические процедуры в дистанционном режиме между мастерскими;</w:t>
      </w:r>
    </w:p>
    <w:p w:rsidR="005302AF" w:rsidRDefault="005302AF" w:rsidP="005302A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302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Отправка и получение электронных писем.</w:t>
      </w:r>
    </w:p>
    <w:p w:rsidR="005302AF" w:rsidRDefault="005302AF" w:rsidP="005302AF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302AF" w:rsidRDefault="005302AF" w:rsidP="005302AF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302AF" w:rsidRPr="005302AF" w:rsidRDefault="005302AF" w:rsidP="005302AF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302AF" w:rsidRPr="005302AF" w:rsidRDefault="005302AF" w:rsidP="005302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302A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lastRenderedPageBreak/>
        <w:t>Обновление одним кликом</w:t>
      </w:r>
    </w:p>
    <w:p w:rsidR="005302AF" w:rsidRPr="005302AF" w:rsidRDefault="005302AF" w:rsidP="005302A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302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Апгрейд ПО одним кликом с помощью быстрого доступа в Интернет;</w:t>
      </w:r>
    </w:p>
    <w:p w:rsidR="005302AF" w:rsidRPr="005302AF" w:rsidRDefault="005302AF" w:rsidP="005302A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302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Установка и удаление программ на базе ОС </w:t>
      </w:r>
      <w:proofErr w:type="spellStart"/>
      <w:r w:rsidRPr="005302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Android</w:t>
      </w:r>
      <w:proofErr w:type="spellEnd"/>
      <w:r w:rsidRPr="005302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7,0;</w:t>
      </w:r>
    </w:p>
    <w:p w:rsidR="005302AF" w:rsidRDefault="005302AF" w:rsidP="005302A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302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Персонализированные параметры </w:t>
      </w:r>
      <w:proofErr w:type="spellStart"/>
      <w:r w:rsidRPr="005302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автосканера</w:t>
      </w:r>
      <w:proofErr w:type="spellEnd"/>
      <w:r w:rsidRPr="005302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5302AF" w:rsidRPr="005302AF" w:rsidRDefault="005302AF" w:rsidP="005302AF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302AF" w:rsidRPr="005302AF" w:rsidRDefault="005302AF" w:rsidP="005302A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  <w:r w:rsidRPr="005302AF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Покрытие по маркам: </w:t>
      </w:r>
    </w:p>
    <w:p w:rsidR="005302AF" w:rsidRDefault="005302AF" w:rsidP="005302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302A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America Ford, Chrysler, GM, Australia Ford, Brazil GM, Brazil Fiat, Brilliance Auto, BYD, </w:t>
      </w:r>
      <w:proofErr w:type="spellStart"/>
      <w:r w:rsidRPr="005302A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Changan</w:t>
      </w:r>
      <w:proofErr w:type="spellEnd"/>
      <w:r w:rsidRPr="005302A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, </w:t>
      </w:r>
      <w:proofErr w:type="spellStart"/>
      <w:r w:rsidRPr="005302A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ChangCheng</w:t>
      </w:r>
      <w:proofErr w:type="spellEnd"/>
      <w:r w:rsidRPr="005302A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, </w:t>
      </w:r>
      <w:proofErr w:type="spellStart"/>
      <w:r w:rsidRPr="005302A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Changhe</w:t>
      </w:r>
      <w:proofErr w:type="spellEnd"/>
      <w:r w:rsidRPr="005302A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, Chery, GEELY, </w:t>
      </w:r>
      <w:proofErr w:type="spellStart"/>
      <w:r w:rsidRPr="005302A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Gonow</w:t>
      </w:r>
      <w:proofErr w:type="spellEnd"/>
      <w:r w:rsidRPr="005302A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 Auto, </w:t>
      </w:r>
      <w:proofErr w:type="spellStart"/>
      <w:r w:rsidRPr="005302A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HaFei</w:t>
      </w:r>
      <w:proofErr w:type="spellEnd"/>
      <w:r w:rsidRPr="005302A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, </w:t>
      </w:r>
      <w:proofErr w:type="spellStart"/>
      <w:r w:rsidRPr="005302A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Haima</w:t>
      </w:r>
      <w:proofErr w:type="spellEnd"/>
      <w:r w:rsidRPr="005302A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, JAC car, </w:t>
      </w:r>
      <w:proofErr w:type="spellStart"/>
      <w:r w:rsidRPr="005302A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Jiangling</w:t>
      </w:r>
      <w:proofErr w:type="spellEnd"/>
      <w:r w:rsidRPr="005302A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, </w:t>
      </w:r>
      <w:proofErr w:type="spellStart"/>
      <w:r w:rsidRPr="005302A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Lifan</w:t>
      </w:r>
      <w:proofErr w:type="spellEnd"/>
      <w:r w:rsidRPr="005302A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, SAIC, SGMW, SPARK, Tianjin FAW, </w:t>
      </w:r>
      <w:proofErr w:type="spellStart"/>
      <w:r w:rsidRPr="005302A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Weili</w:t>
      </w:r>
      <w:proofErr w:type="spellEnd"/>
      <w:r w:rsidRPr="005302A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, Beijing, GAC </w:t>
      </w:r>
      <w:proofErr w:type="spellStart"/>
      <w:r w:rsidRPr="005302A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Chuan</w:t>
      </w:r>
      <w:proofErr w:type="spellEnd"/>
      <w:r w:rsidRPr="005302A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 Qi, Kowloon, LUXGEN, Xiamen Golden, </w:t>
      </w:r>
      <w:proofErr w:type="spellStart"/>
      <w:r w:rsidRPr="005302A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Xiaokang</w:t>
      </w:r>
      <w:proofErr w:type="spellEnd"/>
      <w:r w:rsidRPr="005302A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, </w:t>
      </w:r>
      <w:proofErr w:type="spellStart"/>
      <w:r w:rsidRPr="005302A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XinKai</w:t>
      </w:r>
      <w:proofErr w:type="spellEnd"/>
      <w:r w:rsidRPr="005302A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, </w:t>
      </w:r>
      <w:proofErr w:type="spellStart"/>
      <w:r w:rsidRPr="005302A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ZhongChun</w:t>
      </w:r>
      <w:proofErr w:type="spellEnd"/>
      <w:r w:rsidRPr="005302A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, </w:t>
      </w:r>
      <w:proofErr w:type="spellStart"/>
      <w:r w:rsidRPr="005302A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Zhongxing</w:t>
      </w:r>
      <w:proofErr w:type="spellEnd"/>
      <w:r w:rsidRPr="005302A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, ZOTYE, Audi, Benz, BMW, Citron, Fiat, </w:t>
      </w:r>
      <w:proofErr w:type="spellStart"/>
      <w:r w:rsidRPr="005302A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Landrover</w:t>
      </w:r>
      <w:proofErr w:type="spellEnd"/>
      <w:r w:rsidRPr="005302A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, Opel, Peugeot, Porsche, Renault, Rover, Saab, Seat, Skoda, Smart, Transporter V-Class, Volkswagen, Volvo, Mahindra, MARUTI, TATA, Daihatsu, Honda, JP Isuzu, Mazda, Mitsubishi, Nissan, Subaru.</w:t>
      </w:r>
    </w:p>
    <w:p w:rsidR="005302AF" w:rsidRDefault="005302AF" w:rsidP="005302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090EFC" w:rsidRPr="00985B74" w:rsidRDefault="00985B74">
      <w:pPr>
        <w:rPr>
          <w:b/>
        </w:rPr>
      </w:pPr>
      <w:r w:rsidRPr="00985B74">
        <w:rPr>
          <w:b/>
        </w:rPr>
        <w:t>Характеристики: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985B74" w:rsidTr="00985B74">
        <w:tc>
          <w:tcPr>
            <w:tcW w:w="4998" w:type="dxa"/>
          </w:tcPr>
          <w:p w:rsidR="00985B74" w:rsidRPr="00985B74" w:rsidRDefault="00985B74" w:rsidP="00985B74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85B7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Операционная система</w:t>
            </w:r>
          </w:p>
        </w:tc>
        <w:tc>
          <w:tcPr>
            <w:tcW w:w="4998" w:type="dxa"/>
          </w:tcPr>
          <w:p w:rsidR="00985B74" w:rsidRPr="00985B74" w:rsidRDefault="00985B74" w:rsidP="00985B74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5B7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Android</w:t>
            </w:r>
            <w:proofErr w:type="spellEnd"/>
            <w:r w:rsidRPr="00985B7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7.0</w:t>
            </w:r>
          </w:p>
        </w:tc>
      </w:tr>
      <w:tr w:rsidR="00985B74" w:rsidTr="00985B74">
        <w:tc>
          <w:tcPr>
            <w:tcW w:w="4998" w:type="dxa"/>
          </w:tcPr>
          <w:p w:rsidR="00985B74" w:rsidRPr="00985B74" w:rsidRDefault="00985B74" w:rsidP="00985B74">
            <w:pPr>
              <w:spacing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85B7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Дисплей</w:t>
            </w:r>
          </w:p>
        </w:tc>
        <w:tc>
          <w:tcPr>
            <w:tcW w:w="4998" w:type="dxa"/>
          </w:tcPr>
          <w:p w:rsidR="00985B74" w:rsidRPr="00985B74" w:rsidRDefault="00985B74" w:rsidP="00985B74">
            <w:pPr>
              <w:spacing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85B7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7 дюймовый </w:t>
            </w:r>
            <w:proofErr w:type="spellStart"/>
            <w:r w:rsidRPr="00985B7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touch-screen</w:t>
            </w:r>
            <w:proofErr w:type="spellEnd"/>
            <w:r w:rsidRPr="00985B7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1024*600</w:t>
            </w:r>
          </w:p>
        </w:tc>
      </w:tr>
      <w:tr w:rsidR="00985B74" w:rsidTr="00985B74">
        <w:tc>
          <w:tcPr>
            <w:tcW w:w="4998" w:type="dxa"/>
          </w:tcPr>
          <w:p w:rsidR="00985B74" w:rsidRPr="00985B74" w:rsidRDefault="00985B74" w:rsidP="00985B74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85B7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Память</w:t>
            </w:r>
          </w:p>
        </w:tc>
        <w:tc>
          <w:tcPr>
            <w:tcW w:w="4998" w:type="dxa"/>
          </w:tcPr>
          <w:p w:rsidR="00985B74" w:rsidRPr="00985B74" w:rsidRDefault="00985B74" w:rsidP="00985B74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85B7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2ГБ</w:t>
            </w:r>
          </w:p>
        </w:tc>
      </w:tr>
      <w:tr w:rsidR="00985B74" w:rsidTr="00985B74">
        <w:tc>
          <w:tcPr>
            <w:tcW w:w="4998" w:type="dxa"/>
          </w:tcPr>
          <w:p w:rsidR="00985B74" w:rsidRPr="00985B74" w:rsidRDefault="00985B74" w:rsidP="00985B74">
            <w:pPr>
              <w:spacing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85B7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SSD</w:t>
            </w:r>
          </w:p>
        </w:tc>
        <w:tc>
          <w:tcPr>
            <w:tcW w:w="4998" w:type="dxa"/>
          </w:tcPr>
          <w:p w:rsidR="00985B74" w:rsidRPr="00985B74" w:rsidRDefault="00985B74" w:rsidP="00985B74">
            <w:pPr>
              <w:spacing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85B7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32ГБ</w:t>
            </w:r>
          </w:p>
        </w:tc>
      </w:tr>
      <w:tr w:rsidR="00985B74" w:rsidTr="00985B74">
        <w:tc>
          <w:tcPr>
            <w:tcW w:w="4998" w:type="dxa"/>
          </w:tcPr>
          <w:p w:rsidR="00985B74" w:rsidRPr="00985B74" w:rsidRDefault="00985B74" w:rsidP="00985B74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85B7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Входное напряжение</w:t>
            </w:r>
          </w:p>
        </w:tc>
        <w:tc>
          <w:tcPr>
            <w:tcW w:w="4998" w:type="dxa"/>
          </w:tcPr>
          <w:p w:rsidR="00985B74" w:rsidRPr="00985B74" w:rsidRDefault="00985B74" w:rsidP="00985B74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85B7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OBD II 9В -18В</w:t>
            </w:r>
          </w:p>
        </w:tc>
      </w:tr>
      <w:tr w:rsidR="00985B74" w:rsidTr="00985B74">
        <w:tc>
          <w:tcPr>
            <w:tcW w:w="4998" w:type="dxa"/>
          </w:tcPr>
          <w:p w:rsidR="00985B74" w:rsidRPr="00985B74" w:rsidRDefault="00985B74" w:rsidP="00985B74">
            <w:pPr>
              <w:spacing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85B7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Входное напряжение постоянного тока</w:t>
            </w:r>
          </w:p>
        </w:tc>
        <w:tc>
          <w:tcPr>
            <w:tcW w:w="4998" w:type="dxa"/>
          </w:tcPr>
          <w:p w:rsidR="00985B74" w:rsidRPr="00985B74" w:rsidRDefault="00985B74" w:rsidP="00985B74">
            <w:pPr>
              <w:spacing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85B7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5В</w:t>
            </w:r>
          </w:p>
        </w:tc>
      </w:tr>
      <w:tr w:rsidR="00985B74" w:rsidTr="00985B74">
        <w:tc>
          <w:tcPr>
            <w:tcW w:w="4998" w:type="dxa"/>
          </w:tcPr>
          <w:p w:rsidR="00985B74" w:rsidRPr="00985B74" w:rsidRDefault="00985B74" w:rsidP="00985B74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85B7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Батарея</w:t>
            </w:r>
          </w:p>
        </w:tc>
        <w:tc>
          <w:tcPr>
            <w:tcW w:w="4998" w:type="dxa"/>
          </w:tcPr>
          <w:p w:rsidR="00985B74" w:rsidRPr="00985B74" w:rsidRDefault="00985B74" w:rsidP="00985B74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85B7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Литиевая батарея</w:t>
            </w:r>
          </w:p>
        </w:tc>
      </w:tr>
      <w:tr w:rsidR="00985B74" w:rsidTr="00985B74">
        <w:tc>
          <w:tcPr>
            <w:tcW w:w="4998" w:type="dxa"/>
          </w:tcPr>
          <w:p w:rsidR="00985B74" w:rsidRPr="00985B74" w:rsidRDefault="00985B74" w:rsidP="00985B74">
            <w:pPr>
              <w:spacing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85B7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Температура хранения</w:t>
            </w:r>
          </w:p>
        </w:tc>
        <w:tc>
          <w:tcPr>
            <w:tcW w:w="4998" w:type="dxa"/>
          </w:tcPr>
          <w:p w:rsidR="00985B74" w:rsidRPr="00985B74" w:rsidRDefault="00985B74" w:rsidP="00985B74">
            <w:pPr>
              <w:spacing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85B7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-20 °C ~ 70 °C</w:t>
            </w:r>
          </w:p>
        </w:tc>
      </w:tr>
      <w:tr w:rsidR="00985B74" w:rsidTr="00985B74">
        <w:tc>
          <w:tcPr>
            <w:tcW w:w="4998" w:type="dxa"/>
          </w:tcPr>
          <w:p w:rsidR="00985B74" w:rsidRPr="00985B74" w:rsidRDefault="00985B74" w:rsidP="00985B74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85B7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Рабочая температура</w:t>
            </w:r>
          </w:p>
        </w:tc>
        <w:tc>
          <w:tcPr>
            <w:tcW w:w="4998" w:type="dxa"/>
          </w:tcPr>
          <w:p w:rsidR="00985B74" w:rsidRPr="00985B74" w:rsidRDefault="00985B74" w:rsidP="00985B74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85B7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-10 °C ~ 50 °C</w:t>
            </w:r>
          </w:p>
        </w:tc>
      </w:tr>
      <w:tr w:rsidR="00985B74" w:rsidTr="00985B74">
        <w:tc>
          <w:tcPr>
            <w:tcW w:w="4998" w:type="dxa"/>
          </w:tcPr>
          <w:p w:rsidR="00985B74" w:rsidRPr="00985B74" w:rsidRDefault="00985B74" w:rsidP="00985B74">
            <w:pPr>
              <w:spacing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85B7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Габариты</w:t>
            </w:r>
          </w:p>
        </w:tc>
        <w:tc>
          <w:tcPr>
            <w:tcW w:w="4998" w:type="dxa"/>
          </w:tcPr>
          <w:p w:rsidR="00985B74" w:rsidRPr="00985B74" w:rsidRDefault="00985B74" w:rsidP="00985B74">
            <w:pPr>
              <w:spacing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85B7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246*139,5*34 мм</w:t>
            </w:r>
          </w:p>
        </w:tc>
      </w:tr>
      <w:tr w:rsidR="00985B74" w:rsidTr="00985B74">
        <w:tc>
          <w:tcPr>
            <w:tcW w:w="4998" w:type="dxa"/>
          </w:tcPr>
          <w:p w:rsidR="00985B74" w:rsidRPr="00985B74" w:rsidRDefault="00985B74" w:rsidP="00985B74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85B7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Масса нетто</w:t>
            </w:r>
          </w:p>
        </w:tc>
        <w:tc>
          <w:tcPr>
            <w:tcW w:w="4998" w:type="dxa"/>
          </w:tcPr>
          <w:p w:rsidR="00985B74" w:rsidRPr="00985B74" w:rsidRDefault="00985B74" w:rsidP="00985B74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85B7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650 г</w:t>
            </w:r>
            <w:bookmarkStart w:id="0" w:name="_GoBack"/>
            <w:bookmarkEnd w:id="0"/>
          </w:p>
        </w:tc>
      </w:tr>
    </w:tbl>
    <w:p w:rsidR="00985B74" w:rsidRPr="00985B74" w:rsidRDefault="00985B74"/>
    <w:sectPr w:rsidR="00985B74" w:rsidRPr="00985B74" w:rsidSect="00985B74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ProCon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63A44"/>
    <w:multiLevelType w:val="multilevel"/>
    <w:tmpl w:val="E67EF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681D6D"/>
    <w:multiLevelType w:val="multilevel"/>
    <w:tmpl w:val="35BE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0F7CD2"/>
    <w:multiLevelType w:val="multilevel"/>
    <w:tmpl w:val="C3507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AF02CC"/>
    <w:multiLevelType w:val="multilevel"/>
    <w:tmpl w:val="D6B0C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7660AD"/>
    <w:multiLevelType w:val="multilevel"/>
    <w:tmpl w:val="1632E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C18"/>
    <w:rsid w:val="00152C18"/>
    <w:rsid w:val="001D119C"/>
    <w:rsid w:val="002E5CCD"/>
    <w:rsid w:val="005302AF"/>
    <w:rsid w:val="00542315"/>
    <w:rsid w:val="0098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302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02AF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302A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85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302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02AF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302A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85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  <w:div w:id="13101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17395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18425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  <w:div w:id="9730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21110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  <w:div w:id="5542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8128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13526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  <w:div w:id="12926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19331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  <w:div w:id="20094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442</Words>
  <Characters>2524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Войтова Мария Викторовна</dc:creator>
  <cp:keywords/>
  <dc:description/>
  <cp:lastModifiedBy>Войтова Мария Викторовна</cp:lastModifiedBy>
  <cp:revision>3</cp:revision>
  <dcterms:created xsi:type="dcterms:W3CDTF">2023-05-04T02:59:00Z</dcterms:created>
  <dcterms:modified xsi:type="dcterms:W3CDTF">2023-05-04T03:07:00Z</dcterms:modified>
</cp:coreProperties>
</file>